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36"/>
          <w:rtl w:val="0"/>
        </w:rPr>
        <w:t xml:space="preserve">Glass Dry Erase Boards, Markerboards, and Whiteboards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CSI Specifications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Section 10 11 16.13 (Section 10115)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24"/>
          <w:rtl w:val="0"/>
        </w:rPr>
        <w:t xml:space="preserve">Fixed Markerboards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0"/>
          <w:rtl w:val="0"/>
        </w:rPr>
        <w:t xml:space="preserve">(Section 10 11 00  / 10100 Visual Display Boards)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Impact Architectural Signs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rtl w:val="0"/>
        </w:rPr>
        <w:t xml:space="preserve">http://www.impactsigns.com/glass-whiteboard-dry-erase-board/</w:t>
      </w:r>
    </w:p>
    <w:p w:rsidP="00000000" w:rsidRPr="00000000" w:rsidR="00000000" w:rsidDel="00000000" w:rsidRDefault="00000000">
      <w:pPr/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specifications@impactsigns.com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1 – General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1.1 Section Includes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Fixed , glass, dry-erase markerboards, whiteboards, dry erase boards, and magnetic whiteboards.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1.2</w:t>
      </w:r>
      <w:r w:rsidRPr="00000000" w:rsidR="00000000" w:rsidDel="00000000">
        <w:rPr>
          <w:sz w:val="18"/>
          <w:rtl w:val="0"/>
        </w:rPr>
        <w:t xml:space="preserve"> </w:t>
      </w:r>
      <w:r w:rsidRPr="00000000" w:rsidR="00000000" w:rsidDel="00000000">
        <w:rPr>
          <w:b w:val="1"/>
          <w:sz w:val="18"/>
          <w:rtl w:val="0"/>
        </w:rPr>
        <w:t xml:space="preserve">Scope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Furnish glass panels , stand off hardware, and anchors as necessary.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1.3 Submittals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A. Comply with Section 01330 (01 33 00) – Submittal Procedures. 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B. Product Data: Submit manufacturer’s product data, including installation instructions. 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Specifier Notes: Delete samples if not required.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C. Samples: Submit manufacturer’s sample of markerboards. 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D. Cleaning Instructions: Submit manufacturer’s cleaning instructions. 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18"/>
          <w:rtl w:val="0"/>
        </w:rPr>
        <w:t xml:space="preserve">E. Warranty Documentation: Submit manufacturer’s standard warranty.</w:t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1.4 Quality Assurance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A. Manufacturer to have a minimum of 10 years experience producing glass markerboards.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4"/>
          <w:rtl w:val="0"/>
        </w:rPr>
        <w:t xml:space="preserve">Part II – Products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2.1 Acceptable Manufacturer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</w:pPr>
      <w:r w:rsidRPr="00000000" w:rsidR="00000000" w:rsidDel="00000000">
        <w:rPr>
          <w:sz w:val="20"/>
          <w:rtl w:val="0"/>
        </w:rPr>
        <w:t xml:space="preserve">A. Impact Architectural Signs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26 E Burlington Ave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LaGrange, IL 60525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20"/>
          <w:rtl w:val="0"/>
        </w:rPr>
        <w:t xml:space="preserve">(708) 469-7178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color w:val="1155cc"/>
          <w:sz w:val="20"/>
          <w:rtl w:val="0"/>
        </w:rPr>
        <w:t xml:space="preserve">specifications@impactsigns.com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sz w:val="18"/>
          <w:rtl w:val="0"/>
        </w:rPr>
        <w:t xml:space="preserve">B. Substitutes: Substitutes are not acceptable.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SPECIFIER NOTE: Edit the following paragraphs as required to specify the Cast Plaque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applicable to the project. Delete those not required.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2.2  Product Information Cast Plaques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Material:  ¼” thick tempered safety glass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Size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24”x36”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36”x48”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36”x60”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48”x60”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48” x72”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48” x 96: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Custom Size H x W inches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Finishes: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Clear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Frosted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Backpainted White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Backpainted black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Backpainted any specified PMS color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Magnetic (applies only with backpainted option)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Custom Frosted Watermark on 2nd surface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D. Mounting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Provide 1” diameter x ½ deep anodized aluminum peg mounting hardware (Qty 4-8 as needed determined by size)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Provide appropriate anchors to mount on drywall, concrete, or other surface.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sz w:val="18"/>
          <w:rtl w:val="0"/>
        </w:rPr>
        <w:t xml:space="preserve">Use only manufacturer approved and provided hardware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Part III – Execution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3.1 Installation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A qualified installer shall install glass dry erase boards.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Impact! Arcitectural Signs offers installation nationwide for architectural signage.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C. Install dry erase boards level, plumb, and at the height indicated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Cleaning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Clean markerboards promptly after installation in accordance with manufacturer’s instructions. 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B. Do not use harsh cleaning materials or methods that could damage surface.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3.2 Warranty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A. Lifetime on surface finish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END OF SECTION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3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pecifications@impactsigns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Dry Erase Boards, Markerboards, and Whiteboards  - CSI Specifications - Impact Architectural Signs.docx</dc:title>
</cp:coreProperties>
</file>