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36"/>
          <w:rtl w:val="0"/>
        </w:rPr>
        <w:t xml:space="preserve">Glass Signs and Plaques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CSI Specifications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Section 10 14 16 (Section 10420)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Plaques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Impact Architectural Signs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http://www.impactsigns.com/etched-glass-signs/</w:t>
      </w:r>
    </w:p>
    <w:p w:rsidP="00000000" w:rsidRPr="00000000" w:rsidR="00000000" w:rsidDel="00000000" w:rsidRDefault="00000000">
      <w:pPr/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specifications@impactsigns.com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 xml:space="preserve">Part 1 – General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1.1 Section Includes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A. Etched Glass Signs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B. Edgelit (Lighted) Glass Signs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1.2</w:t>
      </w:r>
      <w:r w:rsidRPr="00000000" w:rsidR="00000000" w:rsidDel="00000000">
        <w:rPr>
          <w:sz w:val="18"/>
          <w:rtl w:val="0"/>
        </w:rPr>
        <w:t xml:space="preserve"> </w:t>
      </w:r>
      <w:r w:rsidRPr="00000000" w:rsidR="00000000" w:rsidDel="00000000">
        <w:rPr>
          <w:b w:val="1"/>
          <w:sz w:val="18"/>
          <w:rtl w:val="0"/>
        </w:rPr>
        <w:t xml:space="preserve">Scope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A. Furnish etched glass signs, mounting hardware (LED lighting, power supplies, and wiring) as specified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1.3 Submittals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A. Manufacturer’s descriptive literature and specifications.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B. Submit manufacturer's shop drawings, indicating materials, typography, artwork, and mounting. 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1.4 Quality Assurance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A. Manufacturer to have a minimum of 20 years experience producing etched glass signs.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 xml:space="preserve">Part II – Products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2.1 Acceptable Manufacturer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20"/>
          <w:rtl w:val="0"/>
        </w:rPr>
        <w:t xml:space="preserve">A. Impact Architectural Signs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color w:val="1155cc"/>
          <w:sz w:val="20"/>
          <w:rtl w:val="0"/>
        </w:rPr>
        <w:t xml:space="preserve">specifications@impactsigns.com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B. Substitutes: Substitutes are not acceptable.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2.2  Product Information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Material: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¼” thick glass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⅜” thick glass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½” thick glass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Size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Specify sizes in H x W in inches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C. Finishes: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Clear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Frosted background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Etched logo and lettering 1st surface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Etched logo and lettering 2nd surface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Paint filling of etched letters and logo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Edge lighting with Stainless steel rails at top and bottom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D. Mounting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Provide anodized aluminum peg mounting hardware (Qty 4-8 as needed determined by size)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Provide appropriate anchors to mount on drywall, concrete, or other surface.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Use only manufacturer approved and provided hardware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Part III – Execution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3.1 Installation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A qualified installer shall install etched glass and edgelit glass signs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Impact! Arcitectural Signs offers installation nationwide for architectural signage.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C. Install dry erase boards level, plumb, and at the height indicated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3.2 Cleaning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Clean glass signs promptly after installation in accordance with manufacturer’s instructions. 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Do not use harsh cleaning materials or methods that could damage surface.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3.2 Warranty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Lifetime on surface finish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END OF SECTION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2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3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4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specifications@impactsigns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Signs and Plaques  - CSI Specifications - Impact Architectural Signs.docx</dc:title>
</cp:coreProperties>
</file>